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49D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参数表</w:t>
      </w:r>
      <w:bookmarkStart w:id="0" w:name="_GoBack"/>
      <w:bookmarkEnd w:id="0"/>
    </w:p>
    <w:tbl>
      <w:tblPr>
        <w:tblStyle w:val="6"/>
        <w:tblW w:w="14410" w:type="dxa"/>
        <w:tblInd w:w="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440"/>
        <w:gridCol w:w="1192"/>
        <w:gridCol w:w="9107"/>
        <w:gridCol w:w="1061"/>
      </w:tblGrid>
      <w:tr w14:paraId="1297F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10" w:type="dxa"/>
            <w:shd w:val="clear" w:color="auto" w:fill="BEBEBE"/>
            <w:vAlign w:val="top"/>
          </w:tcPr>
          <w:p w14:paraId="3CE7A32C">
            <w:pPr>
              <w:pStyle w:val="7"/>
              <w:spacing w:line="262" w:lineRule="auto"/>
            </w:pPr>
          </w:p>
          <w:p w14:paraId="793564FB">
            <w:pPr>
              <w:spacing w:before="65" w:line="187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440" w:type="dxa"/>
            <w:shd w:val="clear" w:color="auto" w:fill="BEBEBE"/>
            <w:vAlign w:val="top"/>
          </w:tcPr>
          <w:p w14:paraId="3E18572C">
            <w:pPr>
              <w:spacing w:before="294" w:line="229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项目名称</w:t>
            </w:r>
          </w:p>
        </w:tc>
        <w:tc>
          <w:tcPr>
            <w:tcW w:w="1192" w:type="dxa"/>
            <w:tcBorders>
              <w:right w:val="single" w:color="000000" w:sz="2" w:space="0"/>
            </w:tcBorders>
            <w:shd w:val="clear" w:color="auto" w:fill="BEBEBE"/>
            <w:vAlign w:val="top"/>
          </w:tcPr>
          <w:p w14:paraId="69526EC6">
            <w:pPr>
              <w:spacing w:before="294" w:line="22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版本号</w:t>
            </w:r>
          </w:p>
        </w:tc>
        <w:tc>
          <w:tcPr>
            <w:tcW w:w="9107" w:type="dxa"/>
            <w:tcBorders>
              <w:left w:val="single" w:color="000000" w:sz="2" w:space="0"/>
            </w:tcBorders>
            <w:shd w:val="clear" w:color="auto" w:fill="BEBEBE"/>
            <w:vAlign w:val="top"/>
          </w:tcPr>
          <w:p w14:paraId="5C8909EB">
            <w:pPr>
              <w:spacing w:before="293" w:line="228" w:lineRule="auto"/>
              <w:ind w:left="4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技术参数</w:t>
            </w:r>
          </w:p>
        </w:tc>
        <w:tc>
          <w:tcPr>
            <w:tcW w:w="1061" w:type="dxa"/>
            <w:tcBorders>
              <w:right w:val="single" w:color="000000" w:sz="2" w:space="0"/>
            </w:tcBorders>
            <w:shd w:val="clear" w:color="auto" w:fill="BEBEBE"/>
            <w:vAlign w:val="top"/>
          </w:tcPr>
          <w:p w14:paraId="068DF97C">
            <w:pPr>
              <w:spacing w:before="115" w:line="281" w:lineRule="auto"/>
              <w:ind w:left="355" w:right="318" w:hanging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0"/>
                <w:szCs w:val="20"/>
              </w:rPr>
              <w:t>(元)</w:t>
            </w:r>
          </w:p>
        </w:tc>
      </w:tr>
      <w:tr w14:paraId="471DC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8" w:hRule="atLeast"/>
        </w:trPr>
        <w:tc>
          <w:tcPr>
            <w:tcW w:w="610" w:type="dxa"/>
            <w:tcBorders>
              <w:bottom w:val="single" w:color="000000" w:sz="2" w:space="0"/>
            </w:tcBorders>
            <w:vAlign w:val="top"/>
          </w:tcPr>
          <w:p w14:paraId="0EC28581">
            <w:pPr>
              <w:pStyle w:val="7"/>
              <w:spacing w:line="256" w:lineRule="auto"/>
            </w:pPr>
          </w:p>
          <w:p w14:paraId="32284B9D">
            <w:pPr>
              <w:pStyle w:val="7"/>
              <w:spacing w:line="256" w:lineRule="auto"/>
            </w:pPr>
          </w:p>
          <w:p w14:paraId="4CA61434">
            <w:pPr>
              <w:pStyle w:val="7"/>
              <w:spacing w:line="256" w:lineRule="auto"/>
            </w:pPr>
          </w:p>
          <w:p w14:paraId="17B89E12">
            <w:pPr>
              <w:pStyle w:val="7"/>
              <w:spacing w:line="256" w:lineRule="auto"/>
            </w:pPr>
          </w:p>
          <w:p w14:paraId="2CB1D573">
            <w:pPr>
              <w:pStyle w:val="7"/>
              <w:spacing w:line="256" w:lineRule="auto"/>
            </w:pPr>
          </w:p>
          <w:p w14:paraId="36538975">
            <w:pPr>
              <w:pStyle w:val="7"/>
              <w:spacing w:line="256" w:lineRule="auto"/>
            </w:pPr>
          </w:p>
          <w:p w14:paraId="564ED14D">
            <w:pPr>
              <w:pStyle w:val="7"/>
              <w:spacing w:line="256" w:lineRule="auto"/>
            </w:pPr>
          </w:p>
          <w:p w14:paraId="0F0AF778">
            <w:pPr>
              <w:pStyle w:val="7"/>
              <w:spacing w:line="257" w:lineRule="auto"/>
            </w:pPr>
          </w:p>
          <w:p w14:paraId="2BC9EA44">
            <w:pPr>
              <w:pStyle w:val="7"/>
              <w:spacing w:line="257" w:lineRule="auto"/>
            </w:pPr>
          </w:p>
          <w:p w14:paraId="7D582496">
            <w:pPr>
              <w:spacing w:before="65" w:line="18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bottom w:val="single" w:color="000000" w:sz="2" w:space="0"/>
            </w:tcBorders>
            <w:vAlign w:val="top"/>
          </w:tcPr>
          <w:p w14:paraId="5A2BD078">
            <w:pPr>
              <w:pStyle w:val="7"/>
              <w:spacing w:line="261" w:lineRule="auto"/>
            </w:pPr>
          </w:p>
          <w:p w14:paraId="307E6406">
            <w:pPr>
              <w:pStyle w:val="7"/>
              <w:spacing w:line="261" w:lineRule="auto"/>
            </w:pPr>
          </w:p>
          <w:p w14:paraId="391F1E57">
            <w:pPr>
              <w:pStyle w:val="7"/>
              <w:spacing w:line="262" w:lineRule="auto"/>
            </w:pPr>
          </w:p>
          <w:p w14:paraId="57E766E2">
            <w:pPr>
              <w:pStyle w:val="7"/>
              <w:spacing w:line="262" w:lineRule="auto"/>
            </w:pPr>
          </w:p>
          <w:p w14:paraId="44F60D9A">
            <w:pPr>
              <w:pStyle w:val="7"/>
              <w:spacing w:line="262" w:lineRule="auto"/>
            </w:pPr>
          </w:p>
          <w:p w14:paraId="365F58E7">
            <w:pPr>
              <w:pStyle w:val="7"/>
              <w:spacing w:line="262" w:lineRule="auto"/>
            </w:pPr>
          </w:p>
          <w:p w14:paraId="63F890CE">
            <w:pPr>
              <w:pStyle w:val="7"/>
              <w:spacing w:line="262" w:lineRule="auto"/>
            </w:pPr>
          </w:p>
          <w:p w14:paraId="39E2071B">
            <w:pPr>
              <w:pStyle w:val="7"/>
              <w:spacing w:line="262" w:lineRule="auto"/>
            </w:pPr>
          </w:p>
          <w:p w14:paraId="0AD73D49">
            <w:pPr>
              <w:spacing w:before="65" w:line="318" w:lineRule="auto"/>
              <w:ind w:left="103" w:right="107" w:firstLine="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</w:rPr>
              <w:t>蒙医资源库嵌入蒙药虚拟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lang w:val="en-US" w:eastAsia="zh-CN"/>
              </w:rPr>
              <w:t>仿真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</w:rPr>
              <w:t>平台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lang w:val="en-US" w:eastAsia="zh-CN"/>
              </w:rPr>
              <w:t>web版技术优化项目</w:t>
            </w: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8272372">
            <w:pPr>
              <w:pStyle w:val="7"/>
              <w:spacing w:line="256" w:lineRule="auto"/>
            </w:pPr>
          </w:p>
          <w:p w14:paraId="4B4EA387">
            <w:pPr>
              <w:pStyle w:val="7"/>
              <w:spacing w:line="256" w:lineRule="auto"/>
            </w:pPr>
          </w:p>
          <w:p w14:paraId="048A1368">
            <w:pPr>
              <w:pStyle w:val="7"/>
              <w:spacing w:line="256" w:lineRule="auto"/>
            </w:pPr>
          </w:p>
          <w:p w14:paraId="1CE8C33B">
            <w:pPr>
              <w:pStyle w:val="7"/>
              <w:spacing w:line="256" w:lineRule="auto"/>
            </w:pPr>
          </w:p>
          <w:p w14:paraId="61DB0568">
            <w:pPr>
              <w:pStyle w:val="7"/>
              <w:spacing w:line="256" w:lineRule="auto"/>
            </w:pPr>
          </w:p>
          <w:p w14:paraId="176B1276">
            <w:pPr>
              <w:pStyle w:val="7"/>
              <w:spacing w:line="256" w:lineRule="auto"/>
            </w:pPr>
          </w:p>
          <w:p w14:paraId="4771EF30">
            <w:pPr>
              <w:pStyle w:val="7"/>
              <w:spacing w:line="256" w:lineRule="auto"/>
            </w:pPr>
          </w:p>
          <w:p w14:paraId="55FADDC4">
            <w:pPr>
              <w:pStyle w:val="7"/>
              <w:spacing w:line="256" w:lineRule="auto"/>
            </w:pPr>
          </w:p>
          <w:p w14:paraId="7DA1F56F">
            <w:pPr>
              <w:pStyle w:val="7"/>
              <w:spacing w:line="257" w:lineRule="auto"/>
            </w:pPr>
          </w:p>
          <w:p w14:paraId="1C51C22F">
            <w:pPr>
              <w:spacing w:before="65" w:line="190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V1.0</w:t>
            </w:r>
          </w:p>
        </w:tc>
        <w:tc>
          <w:tcPr>
            <w:tcW w:w="910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2B36EC8">
            <w:pPr>
              <w:spacing w:before="161" w:line="22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  仿真平台展厅场景重构,系统内原场景为实验室空间。现根据客户需求重新设计蒙药植物科技</w:t>
            </w:r>
          </w:p>
          <w:p w14:paraId="1FDB3D03">
            <w:pPr>
              <w:spacing w:before="296" w:line="22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展厅，添加具有地方民族特色设计元素，展厅符合蒙药资源主题。</w:t>
            </w:r>
          </w:p>
          <w:p w14:paraId="74ED81C7">
            <w:pPr>
              <w:spacing w:before="29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2.  展厅根据实验主题划分不同的主题展区包括</w:t>
            </w:r>
          </w:p>
          <w:p w14:paraId="6FA47F71">
            <w:pPr>
              <w:spacing w:before="29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（1）平台概况：特色与创新；建设成效；中心现状；发展历程</w:t>
            </w:r>
          </w:p>
          <w:p w14:paraId="40F22A7B">
            <w:pPr>
              <w:spacing w:before="293" w:line="489" w:lineRule="auto"/>
              <w:ind w:left="108" w:right="101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（2）规章制度：呼伦贝尔职业技术学院虚拟仿真实验平台网络安全管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理规定；蒙医药学虚拟仿真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实验教学平台管理制度；蒙医药虚拟仿真教学实验平台人员岗位职责；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蒙医药虚拟仿真实验教学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平台工作规程</w:t>
            </w:r>
          </w:p>
          <w:p w14:paraId="4D7CCA42">
            <w:pPr>
              <w:spacing w:before="3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（3）蒙药植物图谱</w:t>
            </w:r>
          </w:p>
          <w:p w14:paraId="58B60D5C">
            <w:pPr>
              <w:spacing w:before="293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（4）蒙药标本图谱</w:t>
            </w:r>
          </w:p>
        </w:tc>
        <w:tc>
          <w:tcPr>
            <w:tcW w:w="106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980CDC7">
            <w:pPr>
              <w:pStyle w:val="7"/>
              <w:spacing w:line="256" w:lineRule="auto"/>
            </w:pPr>
          </w:p>
          <w:p w14:paraId="4B1A5E7C">
            <w:pPr>
              <w:pStyle w:val="7"/>
              <w:spacing w:line="256" w:lineRule="auto"/>
            </w:pPr>
          </w:p>
          <w:p w14:paraId="640DD0E9">
            <w:pPr>
              <w:pStyle w:val="7"/>
              <w:spacing w:line="256" w:lineRule="auto"/>
            </w:pPr>
          </w:p>
          <w:p w14:paraId="785A9C53">
            <w:pPr>
              <w:pStyle w:val="7"/>
              <w:spacing w:line="256" w:lineRule="auto"/>
            </w:pPr>
          </w:p>
          <w:p w14:paraId="4E3FE824">
            <w:pPr>
              <w:pStyle w:val="7"/>
              <w:spacing w:line="256" w:lineRule="auto"/>
            </w:pPr>
          </w:p>
          <w:p w14:paraId="6DF7ED3C">
            <w:pPr>
              <w:pStyle w:val="7"/>
              <w:spacing w:line="256" w:lineRule="auto"/>
            </w:pPr>
          </w:p>
          <w:p w14:paraId="271BEC91">
            <w:pPr>
              <w:pStyle w:val="7"/>
              <w:spacing w:line="256" w:lineRule="auto"/>
            </w:pPr>
          </w:p>
          <w:p w14:paraId="79F6CCC5">
            <w:pPr>
              <w:pStyle w:val="7"/>
              <w:spacing w:line="257" w:lineRule="auto"/>
            </w:pPr>
          </w:p>
          <w:p w14:paraId="3309EA81">
            <w:pPr>
              <w:pStyle w:val="7"/>
              <w:spacing w:line="257" w:lineRule="auto"/>
            </w:pPr>
          </w:p>
          <w:p w14:paraId="1175958E">
            <w:pPr>
              <w:spacing w:before="65" w:line="18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50000</w:t>
            </w:r>
          </w:p>
        </w:tc>
      </w:tr>
    </w:tbl>
    <w:p w14:paraId="53789726">
      <w:pPr>
        <w:spacing w:line="254" w:lineRule="auto"/>
        <w:rPr>
          <w:rFonts w:ascii="Arial"/>
          <w:sz w:val="21"/>
        </w:rPr>
      </w:pPr>
    </w:p>
    <w:p w14:paraId="12ABD6CE">
      <w:pPr>
        <w:spacing w:line="255" w:lineRule="auto"/>
        <w:rPr>
          <w:rFonts w:ascii="Arial"/>
          <w:sz w:val="21"/>
        </w:rPr>
      </w:pPr>
    </w:p>
    <w:p w14:paraId="6344D2BE">
      <w:pPr>
        <w:spacing w:line="32" w:lineRule="exact"/>
        <w:ind w:firstLine="180"/>
      </w:pPr>
      <w:r>
        <w:pict>
          <v:shape id="_x0000_s1026" o:spid="_x0000_s1026" style="height:1.6pt;width:787.65pt;" filled="f" stroked="t" coordsize="15753,32" path="m0,15l15752,15e">
            <v:fill on="f" focussize="0,0"/>
            <v:stroke weight="1.56pt" color="#000000" miterlimit="2" joinstyle="bevel"/>
            <v:imagedata o:title=""/>
            <o:lock v:ext="edit"/>
            <w10:wrap type="none"/>
            <w10:anchorlock/>
          </v:shape>
        </w:pict>
      </w:r>
    </w:p>
    <w:p w14:paraId="5BBA5A4B">
      <w:pPr>
        <w:spacing w:before="128" w:line="197" w:lineRule="auto"/>
        <w:ind w:left="8896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pacing w:val="-2"/>
          <w:sz w:val="19"/>
          <w:szCs w:val="19"/>
        </w:rPr>
        <w:t>Page</w:t>
      </w:r>
      <w:r>
        <w:rPr>
          <w:rFonts w:ascii="Calibri" w:hAnsi="Calibri" w:eastAsia="Calibri" w:cs="Calibri"/>
          <w:spacing w:val="19"/>
          <w:w w:val="102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1</w:t>
      </w:r>
      <w:r>
        <w:rPr>
          <w:rFonts w:ascii="Calibri" w:hAnsi="Calibri" w:eastAsia="Calibri" w:cs="Calibri"/>
          <w:spacing w:val="11"/>
          <w:w w:val="101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of</w:t>
      </w:r>
      <w:r>
        <w:rPr>
          <w:rFonts w:ascii="Calibri" w:hAnsi="Calibri" w:eastAsia="Calibri" w:cs="Calibri"/>
          <w:spacing w:val="10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3</w:t>
      </w:r>
    </w:p>
    <w:p w14:paraId="1E0C09BE">
      <w:pPr>
        <w:spacing w:line="197" w:lineRule="auto"/>
        <w:rPr>
          <w:rFonts w:ascii="Calibri" w:hAnsi="Calibri" w:eastAsia="Calibri" w:cs="Calibri"/>
          <w:sz w:val="19"/>
          <w:szCs w:val="19"/>
        </w:rPr>
        <w:sectPr>
          <w:pgSz w:w="16160" w:h="11907"/>
          <w:pgMar w:top="746" w:right="107" w:bottom="0" w:left="0" w:header="0" w:footer="0" w:gutter="0"/>
          <w:cols w:space="720" w:num="1"/>
        </w:sectPr>
      </w:pPr>
    </w:p>
    <w:p w14:paraId="1F42A188">
      <w:pPr>
        <w:spacing w:before="33"/>
      </w:pPr>
    </w:p>
    <w:p w14:paraId="5489A203">
      <w:pPr>
        <w:spacing w:before="32"/>
      </w:pPr>
    </w:p>
    <w:tbl>
      <w:tblPr>
        <w:tblStyle w:val="6"/>
        <w:tblW w:w="160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601"/>
        <w:gridCol w:w="2442"/>
        <w:gridCol w:w="1193"/>
        <w:gridCol w:w="9113"/>
        <w:gridCol w:w="1057"/>
        <w:gridCol w:w="922"/>
      </w:tblGrid>
      <w:tr w14:paraId="5EC9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1" w:hRule="atLeast"/>
        </w:trPr>
        <w:tc>
          <w:tcPr>
            <w:tcW w:w="725" w:type="dxa"/>
            <w:tcBorders>
              <w:top w:val="single" w:color="000000" w:sz="8" w:space="0"/>
              <w:left w:val="nil"/>
              <w:bottom w:val="nil"/>
              <w:right w:val="single" w:color="000000" w:sz="6" w:space="0"/>
            </w:tcBorders>
            <w:vAlign w:val="top"/>
          </w:tcPr>
          <w:p w14:paraId="202E9BBE">
            <w:pPr>
              <w:pStyle w:val="7"/>
            </w:pPr>
          </w:p>
        </w:tc>
        <w:tc>
          <w:tcPr>
            <w:tcW w:w="60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A7B21">
            <w:pPr>
              <w:pStyle w:val="7"/>
            </w:pPr>
          </w:p>
        </w:tc>
        <w:tc>
          <w:tcPr>
            <w:tcW w:w="24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AB4A6E">
            <w:pPr>
              <w:pStyle w:val="7"/>
            </w:pPr>
          </w:p>
        </w:tc>
        <w:tc>
          <w:tcPr>
            <w:tcW w:w="1193" w:type="dxa"/>
            <w:tcBorders>
              <w:left w:val="single" w:color="000000" w:sz="6" w:space="0"/>
            </w:tcBorders>
            <w:vAlign w:val="top"/>
          </w:tcPr>
          <w:p w14:paraId="215B547C">
            <w:pPr>
              <w:pStyle w:val="7"/>
            </w:pPr>
          </w:p>
        </w:tc>
        <w:tc>
          <w:tcPr>
            <w:tcW w:w="9113" w:type="dxa"/>
            <w:tcBorders>
              <w:right w:val="single" w:color="000000" w:sz="6" w:space="0"/>
            </w:tcBorders>
            <w:vAlign w:val="top"/>
          </w:tcPr>
          <w:p w14:paraId="68085A31">
            <w:pPr>
              <w:spacing w:before="183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（5）药物植物识别</w:t>
            </w:r>
          </w:p>
          <w:p w14:paraId="169348D1">
            <w:pPr>
              <w:spacing w:before="293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（6）蒙药药用植物题库</w:t>
            </w:r>
          </w:p>
          <w:p w14:paraId="22438475">
            <w:pPr>
              <w:spacing w:before="293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  实验场景重构后将系统中原有的几大功能模块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融入到新的虚拟场景中。</w:t>
            </w:r>
          </w:p>
          <w:p w14:paraId="78C26DD8">
            <w:pPr>
              <w:spacing w:before="29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4.  根据</w:t>
            </w:r>
            <w:r>
              <w:rPr>
                <w:rFonts w:ascii="宋体" w:hAnsi="宋体" w:eastAsia="宋体" w:cs="宋体"/>
                <w:sz w:val="20"/>
                <w:szCs w:val="20"/>
              </w:rPr>
              <w:t>webG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形式优化系统交互体验，系统原为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VR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内容，优化交互逻辑更符合鼠标键盘操作逻</w:t>
            </w:r>
          </w:p>
          <w:p w14:paraId="5911229E">
            <w:pPr>
              <w:spacing w:before="293" w:line="22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辑。</w:t>
            </w:r>
          </w:p>
          <w:p w14:paraId="2C44276B">
            <w:pPr>
              <w:spacing w:before="29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5.  在保持手柄交互基础上新增鼠标键盘交互。</w:t>
            </w:r>
          </w:p>
          <w:p w14:paraId="290D5EB0">
            <w:pPr>
              <w:spacing w:before="293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6.  基于鼠标射线投射优化：采用八叉树空间划分加速射线检测，点击响应延迟从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z w:val="20"/>
                <w:szCs w:val="20"/>
              </w:rPr>
              <w:t>ms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降至</w:t>
            </w:r>
          </w:p>
          <w:p w14:paraId="43E99A78">
            <w:pPr>
              <w:spacing w:before="294" w:line="266" w:lineRule="exact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ms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。</w:t>
            </w:r>
          </w:p>
          <w:p w14:paraId="469BE8E3">
            <w:pPr>
              <w:spacing w:before="274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7.  虚拟场景场景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LOD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（细节层次）技术：对远距离场景（如背景中的草原景观）采用低模简化，</w:t>
            </w:r>
          </w:p>
          <w:p w14:paraId="4CDD2BD9">
            <w:pPr>
              <w:spacing w:before="294" w:line="227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近距离交互对象（如药材标本）保留。高模细节，确保帧率稳定在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60</w:t>
            </w:r>
            <w:r>
              <w:rPr>
                <w:rFonts w:ascii="宋体" w:hAnsi="宋体" w:eastAsia="宋体" w:cs="宋体"/>
                <w:sz w:val="20"/>
                <w:szCs w:val="20"/>
              </w:rPr>
              <w:t>FPS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以上。</w:t>
            </w:r>
          </w:p>
          <w:p w14:paraId="00676427">
            <w:pPr>
              <w:spacing w:before="29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  虚拟场景纹理压缩与格式优化，压缩格式选择：根据设备支持选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择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ASTC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（高压缩比）或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BC</w:t>
            </w:r>
          </w:p>
          <w:p w14:paraId="7E688B67">
            <w:pPr>
              <w:spacing w:before="294" w:line="228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格式（兼容性强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减少显存占用（如蒙药纹理使用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ASTC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4x4）。</w:t>
            </w:r>
          </w:p>
          <w:p w14:paraId="4FAC8651">
            <w:pPr>
              <w:spacing w:before="293" w:line="22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9.  虚拟场景</w:t>
            </w:r>
            <w:r>
              <w:rPr>
                <w:rFonts w:ascii="宋体" w:hAnsi="宋体" w:eastAsia="宋体" w:cs="宋体"/>
                <w:sz w:val="20"/>
                <w:szCs w:val="20"/>
              </w:rPr>
              <w:t>Mipmap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与过滤模式：启用</w:t>
            </w:r>
            <w:r>
              <w:rPr>
                <w:rFonts w:ascii="宋体" w:hAnsi="宋体" w:eastAsia="宋体" w:cs="宋体"/>
                <w:sz w:val="20"/>
                <w:szCs w:val="20"/>
              </w:rPr>
              <w:t>Mipmap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并设置</w:t>
            </w:r>
            <w:r>
              <w:rPr>
                <w:rFonts w:ascii="宋体" w:hAnsi="宋体" w:eastAsia="宋体" w:cs="宋体"/>
                <w:sz w:val="20"/>
                <w:szCs w:val="20"/>
              </w:rPr>
              <w:t>gl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z w:val="20"/>
                <w:szCs w:val="20"/>
              </w:rPr>
              <w:t>LINEAR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_</w:t>
            </w:r>
            <w:r>
              <w:rPr>
                <w:rFonts w:ascii="宋体" w:hAnsi="宋体" w:eastAsia="宋体" w:cs="宋体"/>
                <w:sz w:val="20"/>
                <w:szCs w:val="20"/>
              </w:rPr>
              <w:t>MIPMAP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_</w:t>
            </w:r>
            <w:r>
              <w:rPr>
                <w:rFonts w:ascii="宋体" w:hAnsi="宋体" w:eastAsia="宋体" w:cs="宋体"/>
                <w:sz w:val="20"/>
                <w:szCs w:val="20"/>
              </w:rPr>
              <w:t>LINEAR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过滤，平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衡远处纹</w:t>
            </w:r>
          </w:p>
          <w:p w14:paraId="1149909C">
            <w:pPr>
              <w:spacing w:before="301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理质量与性能。</w:t>
            </w:r>
          </w:p>
          <w:p w14:paraId="567C83CC">
            <w:pPr>
              <w:spacing w:before="293" w:line="22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10. 虚拟场景异步加载策略：按场景分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块加载资源（如优先加载摄像机视野内模型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结合</w:t>
            </w:r>
          </w:p>
        </w:tc>
        <w:tc>
          <w:tcPr>
            <w:tcW w:w="1057" w:type="dxa"/>
            <w:tcBorders>
              <w:left w:val="single" w:color="000000" w:sz="6" w:space="0"/>
            </w:tcBorders>
            <w:vAlign w:val="top"/>
          </w:tcPr>
          <w:p w14:paraId="6349A884">
            <w:pPr>
              <w:pStyle w:val="7"/>
            </w:pPr>
          </w:p>
        </w:tc>
        <w:tc>
          <w:tcPr>
            <w:tcW w:w="922" w:type="dxa"/>
            <w:tcBorders>
              <w:top w:val="single" w:color="000000" w:sz="8" w:space="0"/>
              <w:bottom w:val="nil"/>
              <w:right w:val="nil"/>
            </w:tcBorders>
            <w:vAlign w:val="top"/>
          </w:tcPr>
          <w:p w14:paraId="3CD10CEB">
            <w:pPr>
              <w:pStyle w:val="7"/>
            </w:pPr>
          </w:p>
        </w:tc>
      </w:tr>
    </w:tbl>
    <w:p w14:paraId="703390FB">
      <w:pPr>
        <w:spacing w:line="410" w:lineRule="auto"/>
        <w:rPr>
          <w:rFonts w:ascii="Arial"/>
          <w:sz w:val="21"/>
        </w:rPr>
      </w:pPr>
    </w:p>
    <w:p w14:paraId="2F52F77E">
      <w:pPr>
        <w:spacing w:line="31" w:lineRule="exact"/>
        <w:ind w:firstLine="180"/>
      </w:pPr>
      <w:r>
        <w:pict>
          <v:shape id="_x0000_s1027" o:spid="_x0000_s1027" style="height:1.6pt;width:787.65pt;" filled="f" stroked="t" coordsize="15753,32" path="m0,15l15752,15e">
            <v:fill on="f" focussize="0,0"/>
            <v:stroke weight="1.56pt" color="#000000" miterlimit="2" joinstyle="bevel"/>
            <v:imagedata o:title=""/>
            <o:lock v:ext="edit"/>
            <w10:wrap type="none"/>
            <w10:anchorlock/>
          </v:shape>
        </w:pict>
      </w:r>
    </w:p>
    <w:p w14:paraId="41D9EA0F">
      <w:pPr>
        <w:spacing w:before="128" w:line="197" w:lineRule="auto"/>
        <w:ind w:left="8896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pacing w:val="-2"/>
          <w:sz w:val="19"/>
          <w:szCs w:val="19"/>
        </w:rPr>
        <w:t>Page</w:t>
      </w:r>
      <w:r>
        <w:rPr>
          <w:rFonts w:ascii="Calibri" w:hAnsi="Calibri" w:eastAsia="Calibri" w:cs="Calibri"/>
          <w:spacing w:val="19"/>
          <w:w w:val="102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2</w:t>
      </w:r>
      <w:r>
        <w:rPr>
          <w:rFonts w:ascii="Calibri" w:hAnsi="Calibri" w:eastAsia="Calibri" w:cs="Calibri"/>
          <w:spacing w:val="11"/>
          <w:w w:val="101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of</w:t>
      </w:r>
      <w:r>
        <w:rPr>
          <w:rFonts w:ascii="Calibri" w:hAnsi="Calibri" w:eastAsia="Calibri" w:cs="Calibri"/>
          <w:spacing w:val="10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2"/>
          <w:sz w:val="19"/>
          <w:szCs w:val="19"/>
        </w:rPr>
        <w:t>3</w:t>
      </w:r>
    </w:p>
    <w:p w14:paraId="770C0E6A">
      <w:pPr>
        <w:spacing w:line="197" w:lineRule="auto"/>
        <w:rPr>
          <w:rFonts w:ascii="Calibri" w:hAnsi="Calibri" w:eastAsia="Calibri" w:cs="Calibri"/>
          <w:sz w:val="19"/>
          <w:szCs w:val="19"/>
        </w:rPr>
        <w:sectPr>
          <w:pgSz w:w="16160" w:h="11907"/>
          <w:pgMar w:top="746" w:right="107" w:bottom="0" w:left="0" w:header="0" w:footer="0" w:gutter="0"/>
          <w:cols w:space="720" w:num="1"/>
        </w:sectPr>
      </w:pPr>
    </w:p>
    <w:p w14:paraId="1E9BEAB6">
      <w:pPr>
        <w:spacing w:line="246" w:lineRule="auto"/>
        <w:rPr>
          <w:rFonts w:ascii="Arial"/>
          <w:sz w:val="21"/>
        </w:rPr>
      </w:pPr>
    </w:p>
    <w:p w14:paraId="2BE1EC3F">
      <w:pPr>
        <w:spacing w:line="246" w:lineRule="auto"/>
        <w:rPr>
          <w:rFonts w:ascii="Arial"/>
          <w:sz w:val="21"/>
        </w:rPr>
      </w:pPr>
    </w:p>
    <w:p w14:paraId="7E8F0749">
      <w:pPr>
        <w:spacing w:before="42"/>
      </w:pPr>
    </w:p>
    <w:p w14:paraId="16FF1029">
      <w:pPr>
        <w:spacing w:before="42"/>
      </w:pPr>
    </w:p>
    <w:tbl>
      <w:tblPr>
        <w:tblStyle w:val="6"/>
        <w:tblW w:w="14410" w:type="dxa"/>
        <w:tblInd w:w="7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440"/>
        <w:gridCol w:w="1192"/>
        <w:gridCol w:w="9107"/>
        <w:gridCol w:w="1061"/>
      </w:tblGrid>
      <w:tr w14:paraId="3270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6" w:hRule="atLeast"/>
        </w:trPr>
        <w:tc>
          <w:tcPr>
            <w:tcW w:w="6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B0B6FE">
            <w:pPr>
              <w:pStyle w:val="7"/>
            </w:pPr>
          </w:p>
        </w:tc>
        <w:tc>
          <w:tcPr>
            <w:tcW w:w="24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65F103">
            <w:pPr>
              <w:pStyle w:val="7"/>
            </w:pPr>
          </w:p>
        </w:tc>
        <w:tc>
          <w:tcPr>
            <w:tcW w:w="1192" w:type="dxa"/>
            <w:tcBorders>
              <w:left w:val="single" w:color="000000" w:sz="6" w:space="0"/>
            </w:tcBorders>
            <w:vAlign w:val="top"/>
          </w:tcPr>
          <w:p w14:paraId="2402A295">
            <w:pPr>
              <w:pStyle w:val="7"/>
            </w:pPr>
          </w:p>
        </w:tc>
        <w:tc>
          <w:tcPr>
            <w:tcW w:w="9107" w:type="dxa"/>
            <w:tcBorders>
              <w:right w:val="single" w:color="000000" w:sz="6" w:space="0"/>
            </w:tcBorders>
            <w:vAlign w:val="top"/>
          </w:tcPr>
          <w:p w14:paraId="3775F824">
            <w:pPr>
              <w:spacing w:before="179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AssetBundle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实现按需加载。</w:t>
            </w:r>
          </w:p>
          <w:p w14:paraId="522A8D79">
            <w:pPr>
              <w:spacing w:before="293" w:line="227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11. 虚拟场景对象池复用：对频繁创建/销毁的对象（如交互反馈粒子）使用对象池，减少内存分</w:t>
            </w:r>
          </w:p>
          <w:p w14:paraId="287ABA15">
            <w:pPr>
              <w:spacing w:before="294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配开销。</w:t>
            </w:r>
          </w:p>
          <w:p w14:paraId="6A91F9EB">
            <w:pPr>
              <w:spacing w:before="291" w:line="22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12. 重新设计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UI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,注重交互体验的前提下美化</w:t>
            </w:r>
            <w:r>
              <w:rPr>
                <w:rFonts w:ascii="宋体" w:hAnsi="宋体" w:eastAsia="宋体" w:cs="宋体"/>
                <w:sz w:val="20"/>
                <w:szCs w:val="20"/>
              </w:rPr>
              <w:t>UI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界面。</w:t>
            </w:r>
          </w:p>
          <w:p w14:paraId="7146BEC1">
            <w:pPr>
              <w:spacing w:before="29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13. 升级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VR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版展馆设计。</w:t>
            </w:r>
          </w:p>
          <w:p w14:paraId="095898CB">
            <w:pPr>
              <w:spacing w:before="292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14. 适配展馆功能到新的场景。</w:t>
            </w:r>
          </w:p>
          <w:p w14:paraId="0D69F764">
            <w:pPr>
              <w:spacing w:before="293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15. 结合硬件区别调整场景。</w:t>
            </w:r>
          </w:p>
          <w:p w14:paraId="38469A13">
            <w:pPr>
              <w:spacing w:before="293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16. 升级题库内容增加450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道题目，题目主要以选择题为主。</w:t>
            </w:r>
          </w:p>
          <w:p w14:paraId="59465365">
            <w:pPr>
              <w:spacing w:before="293" w:line="227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17. 考核模块随机出题，在提供中随机选区部分题目组成考卷，用户需要依次完成考题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，得到实</w:t>
            </w:r>
          </w:p>
          <w:p w14:paraId="28BAEB0A">
            <w:pPr>
              <w:spacing w:before="294" w:line="228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验得分。</w:t>
            </w:r>
          </w:p>
          <w:p w14:paraId="6521C6F3">
            <w:pPr>
              <w:spacing w:before="294" w:line="226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18. 实验结果作为实验报告上传后台，查看实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验分数。</w:t>
            </w:r>
          </w:p>
        </w:tc>
        <w:tc>
          <w:tcPr>
            <w:tcW w:w="1061" w:type="dxa"/>
            <w:tcBorders>
              <w:left w:val="single" w:color="000000" w:sz="6" w:space="0"/>
            </w:tcBorders>
            <w:vAlign w:val="top"/>
          </w:tcPr>
          <w:p w14:paraId="470B8C4A">
            <w:pPr>
              <w:pStyle w:val="7"/>
            </w:pPr>
          </w:p>
        </w:tc>
      </w:tr>
      <w:tr w14:paraId="48BF4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DFBC83">
            <w:pPr>
              <w:spacing w:before="248" w:line="189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16121D">
            <w:pPr>
              <w:spacing w:before="216" w:line="22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其他费用</w:t>
            </w:r>
          </w:p>
        </w:tc>
        <w:tc>
          <w:tcPr>
            <w:tcW w:w="1192" w:type="dxa"/>
            <w:tcBorders>
              <w:left w:val="single" w:color="000000" w:sz="6" w:space="0"/>
            </w:tcBorders>
            <w:vAlign w:val="top"/>
          </w:tcPr>
          <w:p w14:paraId="65AD1577">
            <w:pPr>
              <w:spacing w:before="215" w:line="233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</w:p>
        </w:tc>
        <w:tc>
          <w:tcPr>
            <w:tcW w:w="9107" w:type="dxa"/>
            <w:tcBorders>
              <w:right w:val="single" w:color="000000" w:sz="6" w:space="0"/>
            </w:tcBorders>
            <w:vAlign w:val="top"/>
          </w:tcPr>
          <w:p w14:paraId="2DC187A4">
            <w:pPr>
              <w:spacing w:before="18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免费提供培训</w:t>
            </w:r>
          </w:p>
        </w:tc>
        <w:tc>
          <w:tcPr>
            <w:tcW w:w="1061" w:type="dxa"/>
            <w:tcBorders>
              <w:left w:val="single" w:color="000000" w:sz="6" w:space="0"/>
            </w:tcBorders>
            <w:vAlign w:val="top"/>
          </w:tcPr>
          <w:p w14:paraId="2FE21F3E">
            <w:pPr>
              <w:spacing w:before="248" w:line="189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8E0F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242" w:type="dxa"/>
            <w:gridSpan w:val="3"/>
            <w:tcBorders>
              <w:left w:val="single" w:color="000000" w:sz="6" w:space="0"/>
            </w:tcBorders>
            <w:vAlign w:val="top"/>
          </w:tcPr>
          <w:p w14:paraId="33A6E9E2">
            <w:pPr>
              <w:spacing w:before="216" w:line="229" w:lineRule="auto"/>
              <w:ind w:left="1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计</w:t>
            </w:r>
          </w:p>
        </w:tc>
        <w:tc>
          <w:tcPr>
            <w:tcW w:w="10168" w:type="dxa"/>
            <w:gridSpan w:val="2"/>
            <w:vAlign w:val="top"/>
          </w:tcPr>
          <w:p w14:paraId="4A0301C1">
            <w:pPr>
              <w:spacing w:before="216" w:line="228" w:lineRule="auto"/>
              <w:ind w:left="3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大写：伍万元整（小写：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￥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：50000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元）</w:t>
            </w:r>
          </w:p>
        </w:tc>
      </w:tr>
    </w:tbl>
    <w:p w14:paraId="72E5BF47">
      <w:pPr>
        <w:spacing w:line="317" w:lineRule="auto"/>
        <w:rPr>
          <w:rFonts w:ascii="Arial"/>
          <w:sz w:val="21"/>
        </w:rPr>
      </w:pPr>
    </w:p>
    <w:p w14:paraId="3DDC6260">
      <w:pPr>
        <w:spacing w:before="78" w:line="218" w:lineRule="auto"/>
        <w:ind w:left="3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报价说明：</w:t>
      </w:r>
    </w:p>
    <w:p w14:paraId="710C22E3">
      <w:pPr>
        <w:spacing w:before="91" w:line="226" w:lineRule="auto"/>
        <w:ind w:left="3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此价格含运费、含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13%增值税发票。</w:t>
      </w:r>
    </w:p>
    <w:p w14:paraId="752D6BC8">
      <w:pPr>
        <w:spacing w:line="397" w:lineRule="auto"/>
        <w:rPr>
          <w:rFonts w:ascii="Arial"/>
          <w:sz w:val="21"/>
        </w:rPr>
      </w:pPr>
    </w:p>
    <w:p w14:paraId="59BE16D9">
      <w:pPr>
        <w:spacing w:line="31" w:lineRule="exact"/>
        <w:ind w:firstLine="180"/>
      </w:pPr>
      <w:r>
        <w:pict>
          <v:shape id="_x0000_s1028" o:spid="_x0000_s1028" style="height:1.6pt;width:787.65pt;" filled="f" stroked="t" coordsize="15753,32" path="m0,15l15752,15e">
            <v:fill on="f" focussize="0,0"/>
            <v:stroke weight="1.56pt" color="#000000" miterlimit="2" joinstyle="bevel"/>
            <v:imagedata o:title=""/>
            <o:lock v:ext="edit"/>
            <w10:wrap type="none"/>
            <w10:anchorlock/>
          </v:shape>
        </w:pict>
      </w:r>
    </w:p>
    <w:p w14:paraId="30FAA285">
      <w:pPr>
        <w:spacing w:before="129" w:line="197" w:lineRule="auto"/>
        <w:ind w:left="8896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pacing w:val="-1"/>
          <w:sz w:val="19"/>
          <w:szCs w:val="19"/>
        </w:rPr>
        <w:t>Page</w:t>
      </w:r>
      <w:r>
        <w:rPr>
          <w:rFonts w:ascii="Calibri" w:hAnsi="Calibri" w:eastAsia="Calibri" w:cs="Calibri"/>
          <w:spacing w:val="12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1"/>
          <w:sz w:val="19"/>
          <w:szCs w:val="19"/>
        </w:rPr>
        <w:t>3</w:t>
      </w:r>
      <w:r>
        <w:rPr>
          <w:rFonts w:ascii="Calibri" w:hAnsi="Calibri" w:eastAsia="Calibri" w:cs="Calibri"/>
          <w:spacing w:val="11"/>
          <w:w w:val="101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1"/>
          <w:sz w:val="19"/>
          <w:szCs w:val="19"/>
        </w:rPr>
        <w:t>of</w:t>
      </w:r>
      <w:r>
        <w:rPr>
          <w:rFonts w:ascii="Calibri" w:hAnsi="Calibri" w:eastAsia="Calibri" w:cs="Calibri"/>
          <w:spacing w:val="9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1"/>
          <w:sz w:val="19"/>
          <w:szCs w:val="19"/>
        </w:rPr>
        <w:t>3</w:t>
      </w:r>
    </w:p>
    <w:sectPr>
      <w:headerReference r:id="rId5" w:type="default"/>
      <w:pgSz w:w="16160" w:h="11907"/>
      <w:pgMar w:top="400" w:right="107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7E9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454F6"/>
    <w:rsid w:val="1BCE4E40"/>
    <w:rsid w:val="42E0497B"/>
    <w:rsid w:val="4A906592"/>
    <w:rsid w:val="67812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35"/>
      <w:szCs w:val="3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907</Words>
  <Characters>1036</Characters>
  <TotalTime>9</TotalTime>
  <ScaleCrop>false</ScaleCrop>
  <LinksUpToDate>false</LinksUpToDate>
  <CharactersWithSpaces>1100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2025-05-06T16:31:00Z</dcterms:created>
  <dc:creator>User</dc:creator>
  <cp:lastModifiedBy>长相思</cp:lastModifiedBy>
  <dcterms:modified xsi:type="dcterms:W3CDTF">2025-06-18T02:01:36Z</dcterms:modified>
  <dc:title>报价单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2025-05-06T18:09:40Z</vt:filetime>
  </property>
  <property fmtid="{D5CDD505-2E9C-101B-9397-08002B2CF9AE}" pid="4" name="KSOTemplateDocerSaveRecord">
    <vt:lpwstr>eyJoZGlkIjoiNmYzMTY4ZDdhNTZmNWEzODUyNjZkODZhNDg3NmZjMzIiLCJ1c2VySWQiOiI0NDI5OTkxOTgifQ==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933F0AE1F8E84CE38D65D8A265A341A0_12</vt:lpwstr>
  </property>
</Properties>
</file>